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AA" w:rsidRPr="0072648E" w:rsidRDefault="00FD71AA" w:rsidP="00FD71AA">
      <w:pPr>
        <w:pStyle w:val="Heading1"/>
        <w:jc w:val="right"/>
        <w:rPr>
          <w:rStyle w:val="IntenseReference"/>
          <w:rFonts w:ascii="Times New Roman" w:hAnsi="Times New Roman"/>
          <w:color w:val="auto"/>
          <w:sz w:val="24"/>
          <w:szCs w:val="24"/>
        </w:rPr>
      </w:pPr>
      <w:bookmarkStart w:id="0" w:name="_GoBack"/>
      <w:bookmarkEnd w:id="0"/>
      <w:r w:rsidRPr="0072648E">
        <w:rPr>
          <w:rStyle w:val="IntenseReference"/>
          <w:rFonts w:ascii="Times New Roman" w:hAnsi="Times New Roman"/>
          <w:color w:val="auto"/>
          <w:sz w:val="24"/>
          <w:szCs w:val="24"/>
        </w:rPr>
        <w:t>University of Colorado at Colorado Springs</w:t>
      </w:r>
    </w:p>
    <w:p w:rsidR="00FD71AA" w:rsidRPr="0072648E" w:rsidRDefault="00FD71AA" w:rsidP="00FD71AA">
      <w:pPr>
        <w:jc w:val="right"/>
      </w:pPr>
      <w:r w:rsidRPr="0072648E">
        <w:t>Mechanical and Aerospace Engineering</w:t>
      </w:r>
    </w:p>
    <w:p w:rsidR="00FD71AA" w:rsidRPr="0072648E" w:rsidRDefault="00FD71AA" w:rsidP="00FD71AA">
      <w:pPr>
        <w:jc w:val="right"/>
      </w:pPr>
      <w:r w:rsidRPr="0072648E">
        <w:t>MAE Ph.D. Qualifying Exam Policies</w:t>
      </w:r>
    </w:p>
    <w:p w:rsidR="00FD71AA" w:rsidRPr="0072648E" w:rsidRDefault="00FD71AA" w:rsidP="00FD71AA">
      <w:pPr>
        <w:jc w:val="center"/>
        <w:rPr>
          <w:b/>
        </w:rPr>
      </w:pPr>
    </w:p>
    <w:p w:rsidR="00FD71AA" w:rsidRPr="0072648E" w:rsidRDefault="00FD71AA" w:rsidP="00FD71AA">
      <w:pPr>
        <w:spacing w:after="80"/>
        <w:rPr>
          <w:b/>
        </w:rPr>
      </w:pPr>
      <w:r w:rsidRPr="0072648E">
        <w:rPr>
          <w:b/>
        </w:rPr>
        <w:t>General Format:</w:t>
      </w:r>
    </w:p>
    <w:p w:rsidR="00FD71AA" w:rsidRPr="0072648E" w:rsidRDefault="00B23BED" w:rsidP="00FD71AA">
      <w:pPr>
        <w:ind w:left="360"/>
      </w:pPr>
      <w:r>
        <w:t>The qualifying exam is designed to ensure that students achieve a high level of expertise in the subject matter of their major area, preparing them for success in the PhD program and in</w:t>
      </w:r>
      <w:r w:rsidR="00525D73">
        <w:t xml:space="preserve"> their broader career endeavors</w:t>
      </w:r>
      <w:r>
        <w:t xml:space="preserve">.  </w:t>
      </w:r>
      <w:r w:rsidR="00FD71AA" w:rsidRPr="0072648E">
        <w:t xml:space="preserve">The exam will cover one of three topical areas chosen from the list below by the student in consultation with his or her advisor. The exam consists of two parts; a written test followed by an oral test. The oral test will usually be given </w:t>
      </w:r>
      <w:r w:rsidR="008B52DD">
        <w:t>one week</w:t>
      </w:r>
      <w:r w:rsidR="00FD71AA" w:rsidRPr="0072648E">
        <w:t xml:space="preserve"> after the written test.  The exam will emphasize mathematical concepts pertinent to the topical area.</w:t>
      </w:r>
    </w:p>
    <w:p w:rsidR="00FD71AA" w:rsidRPr="0072648E" w:rsidRDefault="00FD71AA" w:rsidP="00FD71AA">
      <w:pPr>
        <w:spacing w:before="80" w:after="80"/>
        <w:rPr>
          <w:b/>
        </w:rPr>
      </w:pPr>
      <w:r w:rsidRPr="0072648E">
        <w:rPr>
          <w:b/>
        </w:rPr>
        <w:t>Topical Areas:</w:t>
      </w:r>
    </w:p>
    <w:p w:rsidR="00FD71AA" w:rsidRPr="0072648E" w:rsidRDefault="00FD71AA" w:rsidP="00FD71AA">
      <w:pPr>
        <w:numPr>
          <w:ilvl w:val="0"/>
          <w:numId w:val="4"/>
        </w:numPr>
        <w:ind w:left="540" w:hanging="180"/>
      </w:pPr>
      <w:r w:rsidRPr="0072648E">
        <w:t>Fluids and Thermal Systems</w:t>
      </w:r>
    </w:p>
    <w:p w:rsidR="00FD71AA" w:rsidRPr="0072648E" w:rsidRDefault="00FD71AA" w:rsidP="00FD71AA">
      <w:pPr>
        <w:numPr>
          <w:ilvl w:val="0"/>
          <w:numId w:val="4"/>
        </w:numPr>
        <w:ind w:left="540" w:hanging="180"/>
      </w:pPr>
      <w:r w:rsidRPr="0072648E">
        <w:t>Solid Mechanics, Structures and Materials</w:t>
      </w:r>
    </w:p>
    <w:p w:rsidR="00FD71AA" w:rsidRPr="0072648E" w:rsidRDefault="00FD71AA" w:rsidP="00FD71AA">
      <w:pPr>
        <w:numPr>
          <w:ilvl w:val="0"/>
          <w:numId w:val="4"/>
        </w:numPr>
        <w:ind w:left="540" w:hanging="180"/>
      </w:pPr>
      <w:r w:rsidRPr="0072648E">
        <w:t>Dynamics and Controls</w:t>
      </w:r>
    </w:p>
    <w:p w:rsidR="00FD71AA" w:rsidRPr="0072648E" w:rsidRDefault="00FD71AA" w:rsidP="00FD71AA">
      <w:pPr>
        <w:spacing w:before="80" w:after="80"/>
        <w:rPr>
          <w:b/>
        </w:rPr>
      </w:pPr>
      <w:r w:rsidRPr="0072648E">
        <w:rPr>
          <w:b/>
        </w:rPr>
        <w:t>Timing:</w:t>
      </w:r>
    </w:p>
    <w:p w:rsidR="004356D1" w:rsidRDefault="004356D1" w:rsidP="00FD71AA">
      <w:pPr>
        <w:numPr>
          <w:ilvl w:val="0"/>
          <w:numId w:val="5"/>
        </w:numPr>
        <w:tabs>
          <w:tab w:val="left" w:pos="720"/>
        </w:tabs>
        <w:ind w:left="720" w:hanging="180"/>
      </w:pPr>
      <w:r>
        <w:t>The qualifying exam will be taken at the first opportunity after the completion of one academic semester following admission into the program.</w:t>
      </w:r>
    </w:p>
    <w:p w:rsidR="00FD71AA" w:rsidRPr="0072648E" w:rsidRDefault="00FD71AA" w:rsidP="00FD71AA">
      <w:pPr>
        <w:numPr>
          <w:ilvl w:val="0"/>
          <w:numId w:val="5"/>
        </w:numPr>
        <w:tabs>
          <w:tab w:val="left" w:pos="720"/>
        </w:tabs>
        <w:ind w:left="720" w:hanging="180"/>
      </w:pPr>
      <w:r w:rsidRPr="0072648E">
        <w:t>Written exam: First Friday of February</w:t>
      </w:r>
    </w:p>
    <w:p w:rsidR="00FD71AA" w:rsidRPr="0072648E" w:rsidRDefault="00FD71AA" w:rsidP="00FD71AA">
      <w:pPr>
        <w:numPr>
          <w:ilvl w:val="0"/>
          <w:numId w:val="5"/>
        </w:numPr>
        <w:tabs>
          <w:tab w:val="left" w:pos="720"/>
        </w:tabs>
        <w:ind w:left="720" w:hanging="180"/>
      </w:pPr>
      <w:r w:rsidRPr="0072648E">
        <w:t xml:space="preserve">Oral exam: </w:t>
      </w:r>
      <w:r w:rsidR="004356D1">
        <w:t>Friday</w:t>
      </w:r>
      <w:r w:rsidRPr="0072648E">
        <w:t xml:space="preserve"> following the written exam</w:t>
      </w:r>
    </w:p>
    <w:p w:rsidR="00FD71AA" w:rsidRPr="0072648E" w:rsidRDefault="00FD71AA" w:rsidP="00FD71AA">
      <w:pPr>
        <w:tabs>
          <w:tab w:val="left" w:pos="810"/>
        </w:tabs>
        <w:spacing w:before="80" w:after="80"/>
        <w:ind w:left="720" w:hanging="720"/>
        <w:rPr>
          <w:b/>
        </w:rPr>
      </w:pPr>
      <w:r w:rsidRPr="0072648E">
        <w:rPr>
          <w:b/>
        </w:rPr>
        <w:t>Written Exam Specifics:</w:t>
      </w:r>
    </w:p>
    <w:p w:rsidR="00FD71AA" w:rsidRPr="0072648E" w:rsidRDefault="00FD71AA" w:rsidP="00FD71AA">
      <w:pPr>
        <w:numPr>
          <w:ilvl w:val="0"/>
          <w:numId w:val="1"/>
        </w:numPr>
        <w:ind w:hanging="180"/>
      </w:pPr>
      <w:r w:rsidRPr="0072648E">
        <w:t>Three to five problems</w:t>
      </w:r>
      <w:r w:rsidR="00391B2E">
        <w:t xml:space="preserve"> (Interdisciplinary students taking the MAE minor exam will be required to complete some subset of these problems)</w:t>
      </w:r>
    </w:p>
    <w:p w:rsidR="00FD71AA" w:rsidRPr="0072648E" w:rsidRDefault="00FD71AA" w:rsidP="00FD71AA">
      <w:pPr>
        <w:numPr>
          <w:ilvl w:val="0"/>
          <w:numId w:val="1"/>
        </w:numPr>
        <w:ind w:hanging="180"/>
      </w:pPr>
      <w:r w:rsidRPr="0072648E">
        <w:t>Three hours in length</w:t>
      </w:r>
    </w:p>
    <w:p w:rsidR="00FD71AA" w:rsidRPr="0072648E" w:rsidRDefault="00FD71AA" w:rsidP="00FD71AA">
      <w:pPr>
        <w:numPr>
          <w:ilvl w:val="0"/>
          <w:numId w:val="1"/>
        </w:numPr>
        <w:ind w:hanging="180"/>
      </w:pPr>
      <w:r w:rsidRPr="0072648E">
        <w:t>No notes/no books</w:t>
      </w:r>
    </w:p>
    <w:p w:rsidR="00FD71AA" w:rsidRPr="0072648E" w:rsidRDefault="00FD71AA" w:rsidP="00FD71AA">
      <w:pPr>
        <w:numPr>
          <w:ilvl w:val="0"/>
          <w:numId w:val="1"/>
        </w:numPr>
        <w:ind w:hanging="180"/>
      </w:pPr>
      <w:r w:rsidRPr="0072648E">
        <w:t>The exam is designed to assess the student’s preparation to succeed in graduate work.  The complexity of the problems corresponds to material typically covered in advanced undergraduate courses through the first year of graduate study in the topical area</w:t>
      </w:r>
    </w:p>
    <w:p w:rsidR="00391B2E" w:rsidRPr="0072648E" w:rsidRDefault="00391B2E" w:rsidP="00391B2E">
      <w:pPr>
        <w:numPr>
          <w:ilvl w:val="0"/>
          <w:numId w:val="1"/>
        </w:numPr>
        <w:ind w:hanging="180"/>
      </w:pPr>
      <w:r>
        <w:t>The Graduate Committee Chair is responsible for the preparation and administration of the test, although these responsibilities will typically be delegated to faculty in the respective fields</w:t>
      </w:r>
    </w:p>
    <w:p w:rsidR="00FD71AA" w:rsidRPr="0072648E" w:rsidRDefault="00FD71AA" w:rsidP="00FD71AA">
      <w:pPr>
        <w:numPr>
          <w:ilvl w:val="0"/>
          <w:numId w:val="1"/>
        </w:numPr>
        <w:ind w:hanging="180"/>
      </w:pPr>
      <w:r w:rsidRPr="0072648E">
        <w:t>Copies of graded exams will be distributed to all faculty members prior to the oral exam</w:t>
      </w:r>
    </w:p>
    <w:p w:rsidR="00FD71AA" w:rsidRPr="0072648E" w:rsidRDefault="00FD71AA" w:rsidP="00FD71AA">
      <w:pPr>
        <w:tabs>
          <w:tab w:val="left" w:pos="810"/>
          <w:tab w:val="num" w:pos="900"/>
        </w:tabs>
        <w:spacing w:before="80" w:after="80"/>
        <w:ind w:left="720" w:hanging="720"/>
        <w:rPr>
          <w:b/>
        </w:rPr>
      </w:pPr>
      <w:r w:rsidRPr="0072648E">
        <w:rPr>
          <w:b/>
        </w:rPr>
        <w:t>Oral Exam Specifics:</w:t>
      </w:r>
    </w:p>
    <w:p w:rsidR="00FD71AA" w:rsidRPr="0072648E" w:rsidRDefault="00525D73" w:rsidP="00FD71AA">
      <w:pPr>
        <w:numPr>
          <w:ilvl w:val="0"/>
          <w:numId w:val="1"/>
        </w:numPr>
        <w:tabs>
          <w:tab w:val="left" w:pos="720"/>
          <w:tab w:val="num" w:pos="900"/>
        </w:tabs>
        <w:ind w:hanging="180"/>
      </w:pPr>
      <w:r>
        <w:t>May cover, but is not limited to, the problems of the written exam</w:t>
      </w:r>
    </w:p>
    <w:p w:rsidR="00FD71AA" w:rsidRPr="0072648E" w:rsidRDefault="00FD71AA" w:rsidP="00FD71AA">
      <w:pPr>
        <w:numPr>
          <w:ilvl w:val="0"/>
          <w:numId w:val="1"/>
        </w:numPr>
        <w:tabs>
          <w:tab w:val="left" w:pos="720"/>
          <w:tab w:val="num" w:pos="900"/>
        </w:tabs>
        <w:ind w:hanging="180"/>
      </w:pPr>
      <w:r w:rsidRPr="0072648E">
        <w:t>All MAE faculty will be invited to attend the oral exam and are allowed to ask questions</w:t>
      </w:r>
    </w:p>
    <w:p w:rsidR="003B65B7" w:rsidRPr="0072648E" w:rsidRDefault="003B65B7" w:rsidP="003B65B7">
      <w:pPr>
        <w:tabs>
          <w:tab w:val="left" w:pos="720"/>
        </w:tabs>
        <w:spacing w:before="80" w:after="80"/>
        <w:ind w:left="720" w:hanging="720"/>
        <w:rPr>
          <w:b/>
        </w:rPr>
      </w:pPr>
      <w:r w:rsidRPr="0072648E">
        <w:rPr>
          <w:b/>
        </w:rPr>
        <w:t>Outcomes:</w:t>
      </w:r>
    </w:p>
    <w:p w:rsidR="003B65B7" w:rsidRPr="0072648E" w:rsidRDefault="003B65B7" w:rsidP="003B65B7">
      <w:pPr>
        <w:numPr>
          <w:ilvl w:val="0"/>
          <w:numId w:val="3"/>
        </w:numPr>
        <w:tabs>
          <w:tab w:val="left" w:pos="720"/>
          <w:tab w:val="num" w:pos="900"/>
        </w:tabs>
        <w:ind w:hanging="180"/>
      </w:pPr>
      <w:r w:rsidRPr="0072648E">
        <w:t xml:space="preserve">The faculty, led by the professors constructing each exam, will convene after the oral test to determine the outcome of the exam </w:t>
      </w:r>
    </w:p>
    <w:p w:rsidR="003B65B7" w:rsidRPr="0072648E" w:rsidRDefault="003B65B7" w:rsidP="003B65B7">
      <w:pPr>
        <w:numPr>
          <w:ilvl w:val="0"/>
          <w:numId w:val="1"/>
        </w:numPr>
        <w:tabs>
          <w:tab w:val="left" w:pos="720"/>
          <w:tab w:val="num" w:pos="900"/>
        </w:tabs>
        <w:ind w:hanging="180"/>
      </w:pPr>
      <w:r w:rsidRPr="0072648E">
        <w:t xml:space="preserve">The student will be promptly notified of the outcome </w:t>
      </w:r>
    </w:p>
    <w:p w:rsidR="003B65B7" w:rsidRPr="0072648E" w:rsidRDefault="003B65B7" w:rsidP="003B65B7">
      <w:pPr>
        <w:numPr>
          <w:ilvl w:val="0"/>
          <w:numId w:val="1"/>
        </w:numPr>
        <w:tabs>
          <w:tab w:val="left" w:pos="720"/>
          <w:tab w:val="num" w:pos="900"/>
        </w:tabs>
        <w:ind w:hanging="180"/>
      </w:pPr>
      <w:r w:rsidRPr="0072648E">
        <w:t>The following are possible outcomes:</w:t>
      </w:r>
    </w:p>
    <w:p w:rsidR="003B65B7" w:rsidRPr="0072648E" w:rsidRDefault="003B65B7" w:rsidP="003B65B7">
      <w:pPr>
        <w:numPr>
          <w:ilvl w:val="1"/>
          <w:numId w:val="1"/>
        </w:numPr>
        <w:tabs>
          <w:tab w:val="left" w:pos="1260"/>
        </w:tabs>
        <w:ind w:left="1260"/>
      </w:pPr>
      <w:r w:rsidRPr="0072648E">
        <w:t>Pass</w:t>
      </w:r>
    </w:p>
    <w:p w:rsidR="003B65B7" w:rsidRPr="0072648E" w:rsidRDefault="003B65B7" w:rsidP="003B65B7">
      <w:pPr>
        <w:numPr>
          <w:ilvl w:val="1"/>
          <w:numId w:val="1"/>
        </w:numPr>
        <w:tabs>
          <w:tab w:val="left" w:pos="1260"/>
        </w:tabs>
        <w:ind w:left="1260"/>
      </w:pPr>
      <w:r w:rsidRPr="0072648E">
        <w:t>Conditional Pass – Pass with additional requirements defined by the faculty.</w:t>
      </w:r>
    </w:p>
    <w:p w:rsidR="003B65B7" w:rsidRPr="0072648E" w:rsidRDefault="003B65B7" w:rsidP="003B65B7">
      <w:pPr>
        <w:numPr>
          <w:ilvl w:val="1"/>
          <w:numId w:val="1"/>
        </w:numPr>
        <w:tabs>
          <w:tab w:val="left" w:pos="1260"/>
        </w:tabs>
        <w:ind w:left="1260"/>
      </w:pPr>
      <w:r w:rsidRPr="0072648E">
        <w:t>Conditional Fail – Additional Requirements and retake the exam the next time it is offered.  The retake exam must be in the same topical area as the original exam.  The outcomes of the retake exam can only be Pass</w:t>
      </w:r>
      <w:r>
        <w:t>, Conditional Pass,</w:t>
      </w:r>
      <w:r w:rsidRPr="0072648E">
        <w:t xml:space="preserve"> or Fail.</w:t>
      </w:r>
    </w:p>
    <w:p w:rsidR="003B65B7" w:rsidRDefault="003B65B7" w:rsidP="003B65B7">
      <w:pPr>
        <w:numPr>
          <w:ilvl w:val="1"/>
          <w:numId w:val="1"/>
        </w:numPr>
        <w:tabs>
          <w:tab w:val="left" w:pos="1260"/>
        </w:tabs>
        <w:ind w:left="1260"/>
      </w:pPr>
      <w:r w:rsidRPr="0072648E">
        <w:lastRenderedPageBreak/>
        <w:t>Fail with no opportunity to retake the exam.</w:t>
      </w:r>
    </w:p>
    <w:p w:rsidR="003B65B7" w:rsidRDefault="003B65B7" w:rsidP="003B65B7">
      <w:pPr>
        <w:tabs>
          <w:tab w:val="left" w:pos="720"/>
        </w:tabs>
        <w:spacing w:before="80" w:after="80"/>
        <w:ind w:left="720" w:hanging="720"/>
        <w:rPr>
          <w:b/>
        </w:rPr>
      </w:pPr>
    </w:p>
    <w:p w:rsidR="003B65B7" w:rsidRPr="0072648E" w:rsidRDefault="003B65B7" w:rsidP="003B65B7">
      <w:pPr>
        <w:tabs>
          <w:tab w:val="left" w:pos="720"/>
        </w:tabs>
        <w:spacing w:before="80" w:after="80"/>
        <w:ind w:left="720" w:hanging="720"/>
        <w:rPr>
          <w:b/>
        </w:rPr>
      </w:pPr>
      <w:r>
        <w:rPr>
          <w:b/>
        </w:rPr>
        <w:t>Topic List</w:t>
      </w:r>
      <w:r w:rsidRPr="0072648E">
        <w:rPr>
          <w:b/>
        </w:rPr>
        <w:t>:</w:t>
      </w:r>
    </w:p>
    <w:p w:rsidR="003B65B7" w:rsidRDefault="003B65B7" w:rsidP="003B65B7">
      <w:pPr>
        <w:tabs>
          <w:tab w:val="left" w:pos="720"/>
        </w:tabs>
        <w:spacing w:before="80" w:after="80"/>
      </w:pPr>
      <w:r>
        <w:t xml:space="preserve">The following lists provide the general </w:t>
      </w:r>
      <w:r w:rsidR="00257629">
        <w:t xml:space="preserve">topical </w:t>
      </w:r>
      <w:r>
        <w:t xml:space="preserve">areas </w:t>
      </w:r>
      <w:r w:rsidR="00257629">
        <w:t xml:space="preserve">for </w:t>
      </w:r>
      <w:r>
        <w:t xml:space="preserve">which the </w:t>
      </w:r>
      <w:r w:rsidR="00257629">
        <w:t>student is expected to demonstrate mastery.</w:t>
      </w:r>
      <w:r w:rsidR="005A14F9">
        <w:t xml:space="preserve">  Although not specifically listed, a strong understanding of the requisite mathematics for each area is also expected.</w:t>
      </w:r>
    </w:p>
    <w:p w:rsidR="003B65B7" w:rsidRDefault="003B65B7" w:rsidP="009D29F1">
      <w:pPr>
        <w:tabs>
          <w:tab w:val="left" w:pos="720"/>
        </w:tabs>
        <w:spacing w:before="80" w:after="80"/>
        <w:rPr>
          <w:b/>
        </w:rPr>
      </w:pPr>
    </w:p>
    <w:p w:rsidR="009D29F1" w:rsidRPr="009D29F1" w:rsidRDefault="009D29F1" w:rsidP="009D29F1">
      <w:pPr>
        <w:tabs>
          <w:tab w:val="left" w:pos="720"/>
        </w:tabs>
        <w:spacing w:before="80" w:after="80"/>
        <w:rPr>
          <w:u w:val="single"/>
        </w:rPr>
      </w:pPr>
      <w:r w:rsidRPr="009D29F1">
        <w:rPr>
          <w:u w:val="single"/>
        </w:rPr>
        <w:t>Fluids and Thermal Systems</w:t>
      </w:r>
    </w:p>
    <w:p w:rsidR="00782997" w:rsidRPr="009D29F1" w:rsidRDefault="00782997" w:rsidP="009D29F1">
      <w:r w:rsidRPr="009D29F1">
        <w:t>Incompressible Flow</w:t>
      </w:r>
    </w:p>
    <w:p w:rsidR="00782997" w:rsidRPr="009D29F1" w:rsidRDefault="00782997" w:rsidP="009D29F1">
      <w:r w:rsidRPr="009D29F1">
        <w:t xml:space="preserve">                </w:t>
      </w:r>
      <w:proofErr w:type="gramStart"/>
      <w:r w:rsidRPr="009D29F1">
        <w:t>fluid</w:t>
      </w:r>
      <w:proofErr w:type="gramEnd"/>
      <w:r w:rsidRPr="009D29F1">
        <w:t xml:space="preserve"> statics</w:t>
      </w:r>
    </w:p>
    <w:p w:rsidR="00782997" w:rsidRPr="009D29F1" w:rsidRDefault="00782997" w:rsidP="009D29F1">
      <w:r w:rsidRPr="009D29F1">
        <w:t xml:space="preserve">                </w:t>
      </w:r>
      <w:proofErr w:type="gramStart"/>
      <w:r w:rsidRPr="009D29F1">
        <w:t>momentum</w:t>
      </w:r>
      <w:proofErr w:type="gramEnd"/>
      <w:r w:rsidRPr="009D29F1">
        <w:t xml:space="preserve"> and energy </w:t>
      </w:r>
      <w:proofErr w:type="spellStart"/>
      <w:r w:rsidRPr="009D29F1">
        <w:t>eqns</w:t>
      </w:r>
      <w:proofErr w:type="spellEnd"/>
    </w:p>
    <w:p w:rsidR="00782997" w:rsidRPr="009D29F1" w:rsidRDefault="00782997" w:rsidP="009D29F1">
      <w:r w:rsidRPr="009D29F1">
        <w:t xml:space="preserve">                </w:t>
      </w:r>
      <w:proofErr w:type="gramStart"/>
      <w:r w:rsidRPr="009D29F1">
        <w:t>dimensional</w:t>
      </w:r>
      <w:proofErr w:type="gramEnd"/>
      <w:r w:rsidRPr="009D29F1">
        <w:t xml:space="preserve"> analysis</w:t>
      </w:r>
    </w:p>
    <w:p w:rsidR="00782997" w:rsidRPr="009D29F1" w:rsidRDefault="00782997" w:rsidP="009D29F1">
      <w:r w:rsidRPr="009D29F1">
        <w:t xml:space="preserve">                </w:t>
      </w:r>
      <w:proofErr w:type="gramStart"/>
      <w:r w:rsidRPr="009D29F1">
        <w:t>pipe</w:t>
      </w:r>
      <w:proofErr w:type="gramEnd"/>
      <w:r w:rsidRPr="009D29F1">
        <w:t xml:space="preserve"> flow</w:t>
      </w:r>
    </w:p>
    <w:p w:rsidR="00782997" w:rsidRPr="009D29F1" w:rsidRDefault="00782997" w:rsidP="009D29F1">
      <w:r w:rsidRPr="009D29F1">
        <w:t xml:space="preserve">                </w:t>
      </w:r>
      <w:proofErr w:type="gramStart"/>
      <w:r w:rsidRPr="009D29F1">
        <w:t>external</w:t>
      </w:r>
      <w:proofErr w:type="gramEnd"/>
      <w:r w:rsidRPr="009D29F1">
        <w:t xml:space="preserve"> flow</w:t>
      </w:r>
    </w:p>
    <w:p w:rsidR="00782997" w:rsidRPr="009D29F1" w:rsidRDefault="00782997" w:rsidP="009D29F1">
      <w:r w:rsidRPr="009D29F1">
        <w:t xml:space="preserve">                </w:t>
      </w:r>
      <w:proofErr w:type="gramStart"/>
      <w:r w:rsidRPr="009D29F1">
        <w:t>fluid</w:t>
      </w:r>
      <w:proofErr w:type="gramEnd"/>
      <w:r w:rsidRPr="009D29F1">
        <w:t xml:space="preserve"> mechanics measurements</w:t>
      </w:r>
    </w:p>
    <w:p w:rsidR="00782997" w:rsidRPr="009D29F1" w:rsidRDefault="00782997" w:rsidP="009D29F1">
      <w:r w:rsidRPr="009D29F1">
        <w:t xml:space="preserve">                </w:t>
      </w:r>
      <w:proofErr w:type="spellStart"/>
      <w:proofErr w:type="gramStart"/>
      <w:r w:rsidRPr="009D29F1">
        <w:t>navier</w:t>
      </w:r>
      <w:proofErr w:type="spellEnd"/>
      <w:proofErr w:type="gramEnd"/>
      <w:r w:rsidRPr="009D29F1">
        <w:t xml:space="preserve"> stokes </w:t>
      </w:r>
      <w:proofErr w:type="spellStart"/>
      <w:r w:rsidRPr="009D29F1">
        <w:t>eqns</w:t>
      </w:r>
      <w:proofErr w:type="spellEnd"/>
    </w:p>
    <w:p w:rsidR="00782997" w:rsidRPr="009D29F1" w:rsidRDefault="00782997" w:rsidP="009D29F1">
      <w:r w:rsidRPr="009D29F1">
        <w:t xml:space="preserve">                </w:t>
      </w:r>
      <w:proofErr w:type="gramStart"/>
      <w:r w:rsidRPr="009D29F1">
        <w:t>boundary</w:t>
      </w:r>
      <w:proofErr w:type="gramEnd"/>
      <w:r w:rsidRPr="009D29F1">
        <w:t xml:space="preserve"> layer flow</w:t>
      </w:r>
    </w:p>
    <w:p w:rsidR="00782997" w:rsidRPr="009D29F1" w:rsidRDefault="00782997" w:rsidP="009D29F1">
      <w:r w:rsidRPr="009D29F1">
        <w:t>Basic Compressible Flow</w:t>
      </w:r>
    </w:p>
    <w:p w:rsidR="00782997" w:rsidRPr="009D29F1" w:rsidRDefault="00782997" w:rsidP="009D29F1">
      <w:r w:rsidRPr="009D29F1">
        <w:tab/>
        <w:t>1-D isentropic flow relations</w:t>
      </w:r>
    </w:p>
    <w:p w:rsidR="00782997" w:rsidRPr="009D29F1" w:rsidRDefault="00782997" w:rsidP="009D29F1">
      <w:r w:rsidRPr="009D29F1">
        <w:tab/>
        <w:t>Mass, momentum and energy equations</w:t>
      </w:r>
    </w:p>
    <w:p w:rsidR="00782997" w:rsidRPr="009D29F1" w:rsidRDefault="00782997" w:rsidP="009D29F1">
      <w:r w:rsidRPr="009D29F1">
        <w:tab/>
        <w:t>Shock relations</w:t>
      </w:r>
    </w:p>
    <w:p w:rsidR="00782997" w:rsidRPr="009D29F1" w:rsidRDefault="00782997" w:rsidP="009D29F1">
      <w:r w:rsidRPr="009D29F1">
        <w:t>Heat Transfer</w:t>
      </w:r>
    </w:p>
    <w:p w:rsidR="00782997" w:rsidRPr="009D29F1" w:rsidRDefault="00782997" w:rsidP="009D29F1">
      <w:r w:rsidRPr="009D29F1">
        <w:t>                1-D S.S. conduction</w:t>
      </w:r>
    </w:p>
    <w:p w:rsidR="00782997" w:rsidRPr="009D29F1" w:rsidRDefault="00782997" w:rsidP="009D29F1">
      <w:r w:rsidRPr="009D29F1">
        <w:t>                2-D S.S. conduction</w:t>
      </w:r>
    </w:p>
    <w:p w:rsidR="00782997" w:rsidRPr="009D29F1" w:rsidRDefault="00782997" w:rsidP="009D29F1">
      <w:r w:rsidRPr="009D29F1">
        <w:t xml:space="preserve">                </w:t>
      </w:r>
      <w:proofErr w:type="gramStart"/>
      <w:r w:rsidRPr="009D29F1">
        <w:t>transient</w:t>
      </w:r>
      <w:proofErr w:type="gramEnd"/>
      <w:r w:rsidRPr="009D29F1">
        <w:t xml:space="preserve"> conduction</w:t>
      </w:r>
    </w:p>
    <w:p w:rsidR="00782997" w:rsidRPr="009D29F1" w:rsidRDefault="00782997" w:rsidP="009D29F1">
      <w:r w:rsidRPr="009D29F1">
        <w:t xml:space="preserve">                </w:t>
      </w:r>
      <w:proofErr w:type="gramStart"/>
      <w:r w:rsidRPr="009D29F1">
        <w:t>internal</w:t>
      </w:r>
      <w:proofErr w:type="gramEnd"/>
      <w:r w:rsidRPr="009D29F1">
        <w:t xml:space="preserve"> flow convection</w:t>
      </w:r>
    </w:p>
    <w:p w:rsidR="00782997" w:rsidRPr="009D29F1" w:rsidRDefault="00782997" w:rsidP="009D29F1">
      <w:r w:rsidRPr="009D29F1">
        <w:t xml:space="preserve">                </w:t>
      </w:r>
      <w:proofErr w:type="gramStart"/>
      <w:r w:rsidRPr="009D29F1">
        <w:t>external</w:t>
      </w:r>
      <w:proofErr w:type="gramEnd"/>
      <w:r w:rsidRPr="009D29F1">
        <w:t xml:space="preserve"> flow convection</w:t>
      </w:r>
    </w:p>
    <w:p w:rsidR="00782997" w:rsidRPr="009D29F1" w:rsidRDefault="00782997" w:rsidP="009D29F1">
      <w:r w:rsidRPr="009D29F1">
        <w:t xml:space="preserve">                </w:t>
      </w:r>
      <w:proofErr w:type="gramStart"/>
      <w:r w:rsidRPr="009D29F1">
        <w:t>free</w:t>
      </w:r>
      <w:proofErr w:type="gramEnd"/>
      <w:r w:rsidRPr="009D29F1">
        <w:t xml:space="preserve"> convection</w:t>
      </w:r>
    </w:p>
    <w:p w:rsidR="00782997" w:rsidRPr="009D29F1" w:rsidRDefault="00782997" w:rsidP="009D29F1">
      <w:r w:rsidRPr="009D29F1">
        <w:t xml:space="preserve">                </w:t>
      </w:r>
      <w:proofErr w:type="gramStart"/>
      <w:r w:rsidRPr="009D29F1">
        <w:t>radiation</w:t>
      </w:r>
      <w:proofErr w:type="gramEnd"/>
      <w:r w:rsidRPr="009D29F1">
        <w:t xml:space="preserve"> fundamentals</w:t>
      </w:r>
    </w:p>
    <w:p w:rsidR="00782997" w:rsidRPr="009D29F1" w:rsidRDefault="00782997" w:rsidP="009D29F1">
      <w:r w:rsidRPr="009D29F1">
        <w:t xml:space="preserve">                </w:t>
      </w:r>
      <w:proofErr w:type="spellStart"/>
      <w:proofErr w:type="gramStart"/>
      <w:r w:rsidRPr="009D29F1">
        <w:t>radiative</w:t>
      </w:r>
      <w:proofErr w:type="spellEnd"/>
      <w:proofErr w:type="gramEnd"/>
      <w:r w:rsidRPr="009D29F1">
        <w:t xml:space="preserve"> exchange between surfaces</w:t>
      </w:r>
    </w:p>
    <w:p w:rsidR="00782997" w:rsidRPr="009D29F1" w:rsidRDefault="00782997" w:rsidP="009D29F1">
      <w:r w:rsidRPr="009D29F1">
        <w:t>Thermodynamics</w:t>
      </w:r>
    </w:p>
    <w:p w:rsidR="00782997" w:rsidRPr="009D29F1" w:rsidRDefault="00782997" w:rsidP="009D29F1">
      <w:r w:rsidRPr="009D29F1">
        <w:t xml:space="preserve">                </w:t>
      </w:r>
      <w:proofErr w:type="gramStart"/>
      <w:r w:rsidRPr="009D29F1">
        <w:t>property</w:t>
      </w:r>
      <w:proofErr w:type="gramEnd"/>
      <w:r w:rsidRPr="009D29F1">
        <w:t xml:space="preserve"> relationships for ideal gases </w:t>
      </w:r>
    </w:p>
    <w:p w:rsidR="00782997" w:rsidRPr="009D29F1" w:rsidRDefault="00782997" w:rsidP="009D29F1">
      <w:r w:rsidRPr="009D29F1">
        <w:t xml:space="preserve">                </w:t>
      </w:r>
      <w:proofErr w:type="gramStart"/>
      <w:r w:rsidRPr="009D29F1">
        <w:t>property</w:t>
      </w:r>
      <w:proofErr w:type="gramEnd"/>
      <w:r w:rsidRPr="009D29F1">
        <w:t xml:space="preserve"> relationships near the saturation region</w:t>
      </w:r>
    </w:p>
    <w:p w:rsidR="00782997" w:rsidRPr="009D29F1" w:rsidRDefault="00782997" w:rsidP="009D29F1">
      <w:r w:rsidRPr="009D29F1">
        <w:t xml:space="preserve">                </w:t>
      </w:r>
      <w:proofErr w:type="gramStart"/>
      <w:r w:rsidRPr="009D29F1">
        <w:t>first</w:t>
      </w:r>
      <w:proofErr w:type="gramEnd"/>
      <w:r w:rsidRPr="009D29F1">
        <w:t xml:space="preserve"> law for closed systems</w:t>
      </w:r>
    </w:p>
    <w:p w:rsidR="00782997" w:rsidRPr="009D29F1" w:rsidRDefault="00782997" w:rsidP="009D29F1">
      <w:r w:rsidRPr="009D29F1">
        <w:t xml:space="preserve">                </w:t>
      </w:r>
      <w:proofErr w:type="gramStart"/>
      <w:r w:rsidRPr="009D29F1">
        <w:t>first</w:t>
      </w:r>
      <w:proofErr w:type="gramEnd"/>
      <w:r w:rsidRPr="009D29F1">
        <w:t xml:space="preserve"> law for open systems</w:t>
      </w:r>
    </w:p>
    <w:p w:rsidR="00782997" w:rsidRPr="009D29F1" w:rsidRDefault="00782997" w:rsidP="009D29F1">
      <w:r w:rsidRPr="009D29F1">
        <w:t xml:space="preserve">                </w:t>
      </w:r>
      <w:proofErr w:type="gramStart"/>
      <w:r w:rsidRPr="009D29F1">
        <w:t>second</w:t>
      </w:r>
      <w:proofErr w:type="gramEnd"/>
      <w:r w:rsidRPr="009D29F1">
        <w:t xml:space="preserve"> law principles</w:t>
      </w:r>
    </w:p>
    <w:p w:rsidR="00782997" w:rsidRPr="009D29F1" w:rsidRDefault="00782997" w:rsidP="009D29F1">
      <w:r w:rsidRPr="009D29F1">
        <w:t xml:space="preserve">                </w:t>
      </w:r>
      <w:proofErr w:type="gramStart"/>
      <w:r w:rsidRPr="009D29F1">
        <w:t>second</w:t>
      </w:r>
      <w:proofErr w:type="gramEnd"/>
      <w:r w:rsidRPr="009D29F1">
        <w:t xml:space="preserve"> law for closed and open systems</w:t>
      </w:r>
    </w:p>
    <w:p w:rsidR="00782997" w:rsidRPr="009D29F1" w:rsidRDefault="00782997" w:rsidP="009D29F1">
      <w:r w:rsidRPr="009D29F1">
        <w:t xml:space="preserve">                </w:t>
      </w:r>
      <w:proofErr w:type="gramStart"/>
      <w:r w:rsidRPr="009D29F1">
        <w:t>gas</w:t>
      </w:r>
      <w:proofErr w:type="gramEnd"/>
      <w:r w:rsidRPr="009D29F1">
        <w:t xml:space="preserve"> and vapor power cycles</w:t>
      </w:r>
    </w:p>
    <w:p w:rsidR="00782997" w:rsidRPr="009D29F1" w:rsidRDefault="00782997" w:rsidP="009D29F1">
      <w:r w:rsidRPr="009D29F1">
        <w:t xml:space="preserve">                </w:t>
      </w:r>
      <w:proofErr w:type="gramStart"/>
      <w:r w:rsidRPr="009D29F1">
        <w:t>refrigeration</w:t>
      </w:r>
      <w:proofErr w:type="gramEnd"/>
      <w:r w:rsidRPr="009D29F1">
        <w:t xml:space="preserve"> cycles</w:t>
      </w:r>
    </w:p>
    <w:p w:rsidR="00782997" w:rsidRPr="009D29F1" w:rsidRDefault="00782997" w:rsidP="009D29F1">
      <w:pPr>
        <w:tabs>
          <w:tab w:val="left" w:pos="720"/>
        </w:tabs>
        <w:spacing w:before="80" w:after="80"/>
        <w:rPr>
          <w:b/>
        </w:rPr>
      </w:pPr>
    </w:p>
    <w:p w:rsidR="004356D1" w:rsidRDefault="004356D1" w:rsidP="009D29F1">
      <w:pPr>
        <w:tabs>
          <w:tab w:val="left" w:pos="720"/>
        </w:tabs>
        <w:spacing w:before="80" w:after="80"/>
        <w:rPr>
          <w:u w:val="single"/>
        </w:rPr>
      </w:pPr>
    </w:p>
    <w:p w:rsidR="004356D1" w:rsidRDefault="004356D1" w:rsidP="009D29F1">
      <w:pPr>
        <w:tabs>
          <w:tab w:val="left" w:pos="720"/>
        </w:tabs>
        <w:spacing w:before="80" w:after="80"/>
        <w:rPr>
          <w:u w:val="single"/>
        </w:rPr>
      </w:pPr>
    </w:p>
    <w:p w:rsidR="004356D1" w:rsidRDefault="004356D1" w:rsidP="009D29F1">
      <w:pPr>
        <w:tabs>
          <w:tab w:val="left" w:pos="720"/>
        </w:tabs>
        <w:spacing w:before="80" w:after="80"/>
        <w:rPr>
          <w:u w:val="single"/>
        </w:rPr>
      </w:pPr>
    </w:p>
    <w:p w:rsidR="00B46C39" w:rsidRDefault="00B46C39">
      <w:pPr>
        <w:rPr>
          <w:u w:val="single"/>
        </w:rPr>
      </w:pPr>
      <w:r>
        <w:rPr>
          <w:u w:val="single"/>
        </w:rPr>
        <w:br w:type="page"/>
      </w:r>
    </w:p>
    <w:p w:rsidR="00782997" w:rsidRPr="009D29F1" w:rsidRDefault="00782997" w:rsidP="009D29F1">
      <w:pPr>
        <w:tabs>
          <w:tab w:val="left" w:pos="720"/>
        </w:tabs>
        <w:spacing w:before="80" w:after="80"/>
        <w:rPr>
          <w:b/>
          <w:u w:val="single"/>
        </w:rPr>
      </w:pPr>
      <w:r w:rsidRPr="009D29F1">
        <w:rPr>
          <w:u w:val="single"/>
        </w:rPr>
        <w:lastRenderedPageBreak/>
        <w:t>Solid Mechanics, Structures and Materials</w:t>
      </w:r>
    </w:p>
    <w:p w:rsidR="00782997" w:rsidRPr="009D29F1" w:rsidRDefault="00782997" w:rsidP="009D29F1">
      <w:pPr>
        <w:pStyle w:val="PlainText"/>
        <w:rPr>
          <w:rFonts w:ascii="Times New Roman" w:hAnsi="Times New Roman" w:cs="Times New Roman"/>
          <w:sz w:val="24"/>
          <w:szCs w:val="24"/>
        </w:rPr>
      </w:pPr>
      <w:proofErr w:type="gramStart"/>
      <w:r w:rsidRPr="009D29F1">
        <w:rPr>
          <w:rFonts w:ascii="Times New Roman" w:hAnsi="Times New Roman" w:cs="Times New Roman"/>
          <w:sz w:val="24"/>
          <w:szCs w:val="24"/>
        </w:rPr>
        <w:t>Theories of Stress and Strain.</w:t>
      </w:r>
      <w:proofErr w:type="gramEnd"/>
    </w:p>
    <w:p w:rsidR="00782997" w:rsidRPr="009D29F1" w:rsidRDefault="00782997" w:rsidP="009D29F1">
      <w:pPr>
        <w:pStyle w:val="PlainText"/>
        <w:rPr>
          <w:rFonts w:ascii="Times New Roman" w:hAnsi="Times New Roman" w:cs="Times New Roman"/>
          <w:sz w:val="24"/>
          <w:szCs w:val="24"/>
        </w:rPr>
      </w:pPr>
      <w:proofErr w:type="gramStart"/>
      <w:r w:rsidRPr="009D29F1">
        <w:rPr>
          <w:rFonts w:ascii="Times New Roman" w:hAnsi="Times New Roman" w:cs="Times New Roman"/>
          <w:sz w:val="24"/>
          <w:szCs w:val="24"/>
        </w:rPr>
        <w:t>Linear Stress-Strain-Temperature Relations.</w:t>
      </w:r>
      <w:proofErr w:type="gramEnd"/>
    </w:p>
    <w:p w:rsidR="00782997" w:rsidRPr="009D29F1" w:rsidRDefault="00782997" w:rsidP="009D29F1">
      <w:pPr>
        <w:pStyle w:val="PlainText"/>
        <w:rPr>
          <w:rFonts w:ascii="Times New Roman" w:hAnsi="Times New Roman" w:cs="Times New Roman"/>
          <w:sz w:val="24"/>
          <w:szCs w:val="24"/>
        </w:rPr>
      </w:pPr>
      <w:proofErr w:type="gramStart"/>
      <w:r w:rsidRPr="009D29F1">
        <w:rPr>
          <w:rFonts w:ascii="Times New Roman" w:hAnsi="Times New Roman" w:cs="Times New Roman"/>
          <w:sz w:val="24"/>
          <w:szCs w:val="24"/>
        </w:rPr>
        <w:t>Inelastic Material Behavior.</w:t>
      </w:r>
      <w:proofErr w:type="gramEnd"/>
    </w:p>
    <w:p w:rsidR="00782997" w:rsidRPr="009D29F1" w:rsidRDefault="00782997" w:rsidP="009D29F1">
      <w:pPr>
        <w:pStyle w:val="PlainText"/>
        <w:rPr>
          <w:rFonts w:ascii="Times New Roman" w:hAnsi="Times New Roman" w:cs="Times New Roman"/>
          <w:sz w:val="24"/>
          <w:szCs w:val="24"/>
        </w:rPr>
      </w:pPr>
      <w:proofErr w:type="gramStart"/>
      <w:r w:rsidRPr="009D29F1">
        <w:rPr>
          <w:rFonts w:ascii="Times New Roman" w:hAnsi="Times New Roman" w:cs="Times New Roman"/>
          <w:sz w:val="24"/>
          <w:szCs w:val="24"/>
        </w:rPr>
        <w:t>Torsion.</w:t>
      </w:r>
      <w:proofErr w:type="gramEnd"/>
    </w:p>
    <w:p w:rsidR="00782997" w:rsidRPr="009D29F1" w:rsidRDefault="00782997" w:rsidP="009D29F1">
      <w:pPr>
        <w:pStyle w:val="PlainText"/>
        <w:rPr>
          <w:rFonts w:ascii="Times New Roman" w:hAnsi="Times New Roman" w:cs="Times New Roman"/>
          <w:sz w:val="24"/>
          <w:szCs w:val="24"/>
        </w:rPr>
      </w:pPr>
      <w:proofErr w:type="gramStart"/>
      <w:r w:rsidRPr="009D29F1">
        <w:rPr>
          <w:rFonts w:ascii="Times New Roman" w:hAnsi="Times New Roman" w:cs="Times New Roman"/>
          <w:sz w:val="24"/>
          <w:szCs w:val="24"/>
        </w:rPr>
        <w:t>Bending of Straight Beams.</w:t>
      </w:r>
      <w:proofErr w:type="gramEnd"/>
    </w:p>
    <w:p w:rsidR="00782997" w:rsidRPr="009D29F1" w:rsidRDefault="00782997" w:rsidP="009D29F1">
      <w:pPr>
        <w:pStyle w:val="PlainText"/>
        <w:rPr>
          <w:rFonts w:ascii="Times New Roman" w:hAnsi="Times New Roman" w:cs="Times New Roman"/>
          <w:sz w:val="24"/>
          <w:szCs w:val="24"/>
        </w:rPr>
      </w:pPr>
      <w:proofErr w:type="gramStart"/>
      <w:r w:rsidRPr="009D29F1">
        <w:rPr>
          <w:rFonts w:ascii="Times New Roman" w:hAnsi="Times New Roman" w:cs="Times New Roman"/>
          <w:sz w:val="24"/>
          <w:szCs w:val="24"/>
        </w:rPr>
        <w:t>Elastic and Inelastic Stability of Columns.</w:t>
      </w:r>
      <w:proofErr w:type="gramEnd"/>
    </w:p>
    <w:p w:rsidR="00782997" w:rsidRPr="009D29F1" w:rsidRDefault="00782997" w:rsidP="009D29F1">
      <w:pPr>
        <w:pStyle w:val="PlainText"/>
        <w:rPr>
          <w:rFonts w:ascii="Times New Roman" w:hAnsi="Times New Roman" w:cs="Times New Roman"/>
          <w:sz w:val="24"/>
          <w:szCs w:val="24"/>
        </w:rPr>
      </w:pPr>
      <w:r w:rsidRPr="009D29F1">
        <w:rPr>
          <w:rFonts w:ascii="Times New Roman" w:hAnsi="Times New Roman" w:cs="Times New Roman"/>
          <w:sz w:val="24"/>
          <w:szCs w:val="24"/>
        </w:rPr>
        <w:t>Stress Concentrations.</w:t>
      </w:r>
    </w:p>
    <w:p w:rsidR="00782997" w:rsidRPr="009D29F1" w:rsidRDefault="00782997" w:rsidP="009D29F1">
      <w:pPr>
        <w:pStyle w:val="PlainText"/>
        <w:rPr>
          <w:rFonts w:ascii="Times New Roman" w:hAnsi="Times New Roman" w:cs="Times New Roman"/>
          <w:sz w:val="24"/>
          <w:szCs w:val="24"/>
        </w:rPr>
      </w:pPr>
      <w:r w:rsidRPr="009D29F1">
        <w:rPr>
          <w:rFonts w:ascii="Times New Roman" w:hAnsi="Times New Roman" w:cs="Times New Roman"/>
          <w:sz w:val="24"/>
          <w:szCs w:val="24"/>
        </w:rPr>
        <w:t>Fracture Mechanics.</w:t>
      </w:r>
    </w:p>
    <w:p w:rsidR="00782997" w:rsidRPr="009D29F1" w:rsidRDefault="00782997" w:rsidP="009D29F1">
      <w:pPr>
        <w:pStyle w:val="PlainText"/>
        <w:rPr>
          <w:rFonts w:ascii="Times New Roman" w:hAnsi="Times New Roman" w:cs="Times New Roman"/>
          <w:sz w:val="24"/>
          <w:szCs w:val="24"/>
        </w:rPr>
      </w:pPr>
      <w:r w:rsidRPr="009D29F1">
        <w:rPr>
          <w:rFonts w:ascii="Times New Roman" w:hAnsi="Times New Roman" w:cs="Times New Roman"/>
          <w:sz w:val="24"/>
          <w:szCs w:val="24"/>
        </w:rPr>
        <w:t>Fatigue</w:t>
      </w:r>
    </w:p>
    <w:p w:rsidR="00782997" w:rsidRPr="009D29F1" w:rsidRDefault="00782997" w:rsidP="009D29F1">
      <w:pPr>
        <w:tabs>
          <w:tab w:val="left" w:pos="720"/>
        </w:tabs>
        <w:spacing w:before="80" w:after="80"/>
        <w:rPr>
          <w:b/>
        </w:rPr>
      </w:pPr>
    </w:p>
    <w:p w:rsidR="00257629" w:rsidRPr="009D29F1" w:rsidRDefault="00257629" w:rsidP="009D29F1">
      <w:pPr>
        <w:tabs>
          <w:tab w:val="left" w:pos="720"/>
        </w:tabs>
        <w:spacing w:before="80" w:after="80"/>
        <w:rPr>
          <w:u w:val="single"/>
        </w:rPr>
      </w:pPr>
      <w:r w:rsidRPr="009D29F1">
        <w:rPr>
          <w:u w:val="single"/>
        </w:rPr>
        <w:t>Dynamics and Control</w:t>
      </w:r>
    </w:p>
    <w:p w:rsidR="009F4559" w:rsidRDefault="009F4559" w:rsidP="009F4559">
      <w:pPr>
        <w:tabs>
          <w:tab w:val="left" w:pos="720"/>
        </w:tabs>
      </w:pPr>
      <w:r>
        <w:t>Dynamics</w:t>
      </w:r>
    </w:p>
    <w:p w:rsidR="00257629" w:rsidRPr="009D29F1" w:rsidRDefault="00E15A0B" w:rsidP="009F4559">
      <w:pPr>
        <w:tabs>
          <w:tab w:val="left" w:pos="720"/>
        </w:tabs>
        <w:ind w:left="720"/>
      </w:pPr>
      <w:r w:rsidRPr="009D29F1">
        <w:t>Vector Kinematics and Dynamics of a Particle, System of Particles and Rigid Body</w:t>
      </w:r>
    </w:p>
    <w:p w:rsidR="00E15A0B" w:rsidRPr="009D29F1" w:rsidRDefault="00E15A0B" w:rsidP="009F4559">
      <w:pPr>
        <w:tabs>
          <w:tab w:val="left" w:pos="720"/>
        </w:tabs>
        <w:ind w:left="720"/>
      </w:pPr>
      <w:r w:rsidRPr="009D29F1">
        <w:t>Principle of Work and Energy</w:t>
      </w:r>
    </w:p>
    <w:p w:rsidR="00E15A0B" w:rsidRPr="009D29F1" w:rsidRDefault="00E15A0B" w:rsidP="009F4559">
      <w:pPr>
        <w:tabs>
          <w:tab w:val="left" w:pos="720"/>
        </w:tabs>
        <w:ind w:left="720"/>
      </w:pPr>
      <w:r w:rsidRPr="009D29F1">
        <w:t>Principle of Impulse and Momentum (Linear and Angular)</w:t>
      </w:r>
    </w:p>
    <w:p w:rsidR="00E15A0B" w:rsidRPr="009D29F1" w:rsidRDefault="00E15A0B" w:rsidP="009F4559">
      <w:pPr>
        <w:tabs>
          <w:tab w:val="left" w:pos="720"/>
        </w:tabs>
        <w:ind w:left="720"/>
      </w:pPr>
      <w:r w:rsidRPr="009D29F1">
        <w:t>Collisions</w:t>
      </w:r>
    </w:p>
    <w:p w:rsidR="00E15A0B" w:rsidRPr="009D29F1" w:rsidRDefault="00E15A0B" w:rsidP="009F4559">
      <w:pPr>
        <w:tabs>
          <w:tab w:val="left" w:pos="720"/>
        </w:tabs>
        <w:ind w:left="720"/>
      </w:pPr>
      <w:r w:rsidRPr="009D29F1">
        <w:t>Inertia tensors</w:t>
      </w:r>
    </w:p>
    <w:p w:rsidR="00E15A0B" w:rsidRPr="009D29F1" w:rsidRDefault="00E15A0B" w:rsidP="009F4559">
      <w:pPr>
        <w:tabs>
          <w:tab w:val="left" w:pos="720"/>
        </w:tabs>
        <w:ind w:left="720"/>
      </w:pPr>
      <w:r w:rsidRPr="009D29F1">
        <w:t>Constrained motion</w:t>
      </w:r>
    </w:p>
    <w:p w:rsidR="00E15A0B" w:rsidRPr="009D29F1" w:rsidRDefault="00E15A0B" w:rsidP="009F4559">
      <w:pPr>
        <w:tabs>
          <w:tab w:val="left" w:pos="720"/>
        </w:tabs>
        <w:ind w:left="720"/>
      </w:pPr>
      <w:r w:rsidRPr="009D29F1">
        <w:t>Generalized coordinates</w:t>
      </w:r>
    </w:p>
    <w:p w:rsidR="00E15A0B" w:rsidRPr="009D29F1" w:rsidRDefault="00E15A0B" w:rsidP="009F4559">
      <w:pPr>
        <w:tabs>
          <w:tab w:val="left" w:pos="720"/>
        </w:tabs>
        <w:ind w:left="720"/>
      </w:pPr>
      <w:r w:rsidRPr="009D29F1">
        <w:t>Virtual Work</w:t>
      </w:r>
    </w:p>
    <w:p w:rsidR="00E15A0B" w:rsidRDefault="00E15A0B" w:rsidP="009F4559">
      <w:pPr>
        <w:tabs>
          <w:tab w:val="left" w:pos="720"/>
        </w:tabs>
        <w:ind w:left="720"/>
      </w:pPr>
      <w:proofErr w:type="spellStart"/>
      <w:r w:rsidRPr="009D29F1">
        <w:t>Lagranges</w:t>
      </w:r>
      <w:proofErr w:type="spellEnd"/>
      <w:r w:rsidRPr="009D29F1">
        <w:t xml:space="preserve"> Equations</w:t>
      </w:r>
    </w:p>
    <w:p w:rsidR="009F4559" w:rsidRDefault="009F4559" w:rsidP="009D29F1">
      <w:pPr>
        <w:tabs>
          <w:tab w:val="left" w:pos="720"/>
        </w:tabs>
      </w:pPr>
      <w:r>
        <w:t>Controls</w:t>
      </w:r>
    </w:p>
    <w:p w:rsidR="009F4559" w:rsidRDefault="009F4559" w:rsidP="009F4559">
      <w:pPr>
        <w:ind w:left="720"/>
      </w:pPr>
      <w:r>
        <w:t>Reduction of multiple subsystems</w:t>
      </w:r>
    </w:p>
    <w:p w:rsidR="009F4559" w:rsidRDefault="009F4559" w:rsidP="009F4559">
      <w:pPr>
        <w:ind w:left="720"/>
      </w:pPr>
      <w:r>
        <w:t>Stability</w:t>
      </w:r>
    </w:p>
    <w:p w:rsidR="009F4559" w:rsidRDefault="009F4559" w:rsidP="009F4559">
      <w:pPr>
        <w:ind w:left="720"/>
      </w:pPr>
      <w:r>
        <w:t>Steady-state error</w:t>
      </w:r>
    </w:p>
    <w:p w:rsidR="009F4559" w:rsidRDefault="009F4559" w:rsidP="009F4559">
      <w:pPr>
        <w:ind w:left="720"/>
      </w:pPr>
      <w:r>
        <w:t>Root Locus techniques including design</w:t>
      </w:r>
    </w:p>
    <w:p w:rsidR="009F4559" w:rsidRDefault="009F4559" w:rsidP="009F4559">
      <w:pPr>
        <w:ind w:left="720"/>
      </w:pPr>
      <w:r>
        <w:t>Frequency response techniques including design</w:t>
      </w:r>
    </w:p>
    <w:p w:rsidR="009F4559" w:rsidRDefault="009F4559" w:rsidP="009F4559">
      <w:pPr>
        <w:ind w:left="720"/>
      </w:pPr>
      <w:r>
        <w:t>State-space controller design</w:t>
      </w:r>
    </w:p>
    <w:p w:rsidR="009F4559" w:rsidRPr="009D29F1" w:rsidRDefault="009F4559" w:rsidP="009D29F1">
      <w:pPr>
        <w:tabs>
          <w:tab w:val="left" w:pos="720"/>
        </w:tabs>
      </w:pPr>
    </w:p>
    <w:p w:rsidR="00E15A0B" w:rsidRPr="009D29F1" w:rsidRDefault="00E15A0B" w:rsidP="009D29F1">
      <w:pPr>
        <w:tabs>
          <w:tab w:val="left" w:pos="720"/>
        </w:tabs>
        <w:spacing w:before="80" w:after="80"/>
      </w:pPr>
    </w:p>
    <w:p w:rsidR="00782997" w:rsidRPr="009D29F1" w:rsidRDefault="00782997" w:rsidP="009D29F1">
      <w:pPr>
        <w:tabs>
          <w:tab w:val="left" w:pos="720"/>
        </w:tabs>
        <w:spacing w:before="80" w:after="80"/>
      </w:pPr>
    </w:p>
    <w:p w:rsidR="00782997" w:rsidRPr="009D29F1" w:rsidRDefault="00782997" w:rsidP="009D29F1">
      <w:pPr>
        <w:tabs>
          <w:tab w:val="left" w:pos="720"/>
        </w:tabs>
        <w:spacing w:before="80" w:after="80"/>
      </w:pPr>
    </w:p>
    <w:p w:rsidR="00782997" w:rsidRPr="009D29F1" w:rsidRDefault="00782997" w:rsidP="009D29F1">
      <w:pPr>
        <w:tabs>
          <w:tab w:val="left" w:pos="720"/>
        </w:tabs>
        <w:spacing w:before="80" w:after="80"/>
      </w:pPr>
    </w:p>
    <w:p w:rsidR="00257629" w:rsidRPr="009D29F1" w:rsidRDefault="00257629" w:rsidP="009D29F1">
      <w:pPr>
        <w:tabs>
          <w:tab w:val="left" w:pos="720"/>
        </w:tabs>
        <w:spacing w:before="80" w:after="80"/>
      </w:pPr>
    </w:p>
    <w:p w:rsidR="00257629" w:rsidRPr="009D29F1" w:rsidRDefault="00257629" w:rsidP="009D29F1">
      <w:pPr>
        <w:tabs>
          <w:tab w:val="left" w:pos="720"/>
        </w:tabs>
        <w:spacing w:before="80" w:after="80"/>
        <w:rPr>
          <w:b/>
        </w:rPr>
      </w:pPr>
    </w:p>
    <w:sectPr w:rsidR="00257629" w:rsidRPr="009D29F1" w:rsidSect="004356D1">
      <w:footerReference w:type="default" r:id="rId9"/>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CD" w:rsidRDefault="008A15CD" w:rsidP="00FD71AA">
      <w:r>
        <w:separator/>
      </w:r>
    </w:p>
  </w:endnote>
  <w:endnote w:type="continuationSeparator" w:id="0">
    <w:p w:rsidR="008A15CD" w:rsidRDefault="008A15CD" w:rsidP="00FD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AA" w:rsidRDefault="00884DCF" w:rsidP="00FD71AA">
    <w:pPr>
      <w:pStyle w:val="Footer"/>
      <w:tabs>
        <w:tab w:val="clear" w:pos="4680"/>
        <w:tab w:val="clear" w:pos="9360"/>
        <w:tab w:val="center" w:pos="4320"/>
      </w:tabs>
    </w:pPr>
    <w:r>
      <w:t>April</w:t>
    </w:r>
    <w:r w:rsidR="00257629">
      <w:t xml:space="preserve"> </w:t>
    </w:r>
    <w:r w:rsidR="00FD71AA">
      <w:t>20</w:t>
    </w:r>
    <w:r w:rsidR="00B46C39">
      <w:t>1</w:t>
    </w:r>
    <w:r>
      <w:t>1</w:t>
    </w:r>
    <w:r w:rsidR="00FD71AA">
      <w:tab/>
      <w:t xml:space="preserve">Revision </w:t>
    </w:r>
    <w:r>
      <w:t>6</w:t>
    </w:r>
    <w:r w:rsidR="00FD71AA">
      <w:tab/>
    </w:r>
    <w:r w:rsidR="00FD71AA">
      <w:tab/>
    </w:r>
    <w:r w:rsidR="00257629">
      <w:tab/>
    </w:r>
    <w:r w:rsidR="00257629">
      <w:tab/>
    </w:r>
    <w:r w:rsidR="00FD71AA">
      <w:t>Graduate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CD" w:rsidRDefault="008A15CD" w:rsidP="00FD71AA">
      <w:r>
        <w:separator/>
      </w:r>
    </w:p>
  </w:footnote>
  <w:footnote w:type="continuationSeparator" w:id="0">
    <w:p w:rsidR="008A15CD" w:rsidRDefault="008A15CD" w:rsidP="00FD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A1F"/>
    <w:multiLevelType w:val="hybridMultilevel"/>
    <w:tmpl w:val="340615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9E2CD0"/>
    <w:multiLevelType w:val="hybridMultilevel"/>
    <w:tmpl w:val="C3427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AF274F"/>
    <w:multiLevelType w:val="hybridMultilevel"/>
    <w:tmpl w:val="9934F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7FC0617"/>
    <w:multiLevelType w:val="hybridMultilevel"/>
    <w:tmpl w:val="C212D28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9656E3"/>
    <w:multiLevelType w:val="hybridMultilevel"/>
    <w:tmpl w:val="FCA83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CE6AEC"/>
    <w:multiLevelType w:val="hybridMultilevel"/>
    <w:tmpl w:val="6280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C60372"/>
    <w:multiLevelType w:val="hybridMultilevel"/>
    <w:tmpl w:val="9A8A41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95"/>
    <w:rsid w:val="00207C5A"/>
    <w:rsid w:val="00257629"/>
    <w:rsid w:val="0029319D"/>
    <w:rsid w:val="00387797"/>
    <w:rsid w:val="00391B2E"/>
    <w:rsid w:val="003B65B7"/>
    <w:rsid w:val="004356D1"/>
    <w:rsid w:val="004D4432"/>
    <w:rsid w:val="00501D77"/>
    <w:rsid w:val="00525D73"/>
    <w:rsid w:val="0055424C"/>
    <w:rsid w:val="005A14F9"/>
    <w:rsid w:val="005D2F5E"/>
    <w:rsid w:val="00626088"/>
    <w:rsid w:val="00782997"/>
    <w:rsid w:val="00884DCF"/>
    <w:rsid w:val="008A15CD"/>
    <w:rsid w:val="008B4450"/>
    <w:rsid w:val="008B52DD"/>
    <w:rsid w:val="008C26D5"/>
    <w:rsid w:val="009D29F1"/>
    <w:rsid w:val="009E68A6"/>
    <w:rsid w:val="009F4559"/>
    <w:rsid w:val="00A75988"/>
    <w:rsid w:val="00B23BED"/>
    <w:rsid w:val="00B35A6B"/>
    <w:rsid w:val="00B46C39"/>
    <w:rsid w:val="00B56695"/>
    <w:rsid w:val="00D051CD"/>
    <w:rsid w:val="00D763F7"/>
    <w:rsid w:val="00E15A0B"/>
    <w:rsid w:val="00F45EB6"/>
    <w:rsid w:val="00FD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88"/>
    <w:rPr>
      <w:sz w:val="24"/>
      <w:szCs w:val="24"/>
    </w:rPr>
  </w:style>
  <w:style w:type="paragraph" w:styleId="Heading1">
    <w:name w:val="heading 1"/>
    <w:basedOn w:val="Normal"/>
    <w:next w:val="Normal"/>
    <w:link w:val="Heading1Char"/>
    <w:uiPriority w:val="9"/>
    <w:qFormat/>
    <w:rsid w:val="00B778E9"/>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9B2"/>
    <w:pPr>
      <w:tabs>
        <w:tab w:val="center" w:pos="4680"/>
        <w:tab w:val="right" w:pos="9360"/>
      </w:tabs>
    </w:pPr>
  </w:style>
  <w:style w:type="character" w:customStyle="1" w:styleId="HeaderChar">
    <w:name w:val="Header Char"/>
    <w:basedOn w:val="DefaultParagraphFont"/>
    <w:link w:val="Header"/>
    <w:uiPriority w:val="99"/>
    <w:rsid w:val="006A19B2"/>
    <w:rPr>
      <w:sz w:val="24"/>
      <w:szCs w:val="24"/>
    </w:rPr>
  </w:style>
  <w:style w:type="paragraph" w:styleId="Footer">
    <w:name w:val="footer"/>
    <w:basedOn w:val="Normal"/>
    <w:link w:val="FooterChar"/>
    <w:uiPriority w:val="99"/>
    <w:unhideWhenUsed/>
    <w:rsid w:val="006A19B2"/>
    <w:pPr>
      <w:tabs>
        <w:tab w:val="center" w:pos="4680"/>
        <w:tab w:val="right" w:pos="9360"/>
      </w:tabs>
    </w:pPr>
  </w:style>
  <w:style w:type="character" w:customStyle="1" w:styleId="FooterChar">
    <w:name w:val="Footer Char"/>
    <w:basedOn w:val="DefaultParagraphFont"/>
    <w:link w:val="Footer"/>
    <w:uiPriority w:val="99"/>
    <w:rsid w:val="006A19B2"/>
    <w:rPr>
      <w:sz w:val="24"/>
      <w:szCs w:val="24"/>
    </w:rPr>
  </w:style>
  <w:style w:type="paragraph" w:styleId="BalloonText">
    <w:name w:val="Balloon Text"/>
    <w:basedOn w:val="Normal"/>
    <w:link w:val="BalloonTextChar"/>
    <w:uiPriority w:val="99"/>
    <w:semiHidden/>
    <w:unhideWhenUsed/>
    <w:rsid w:val="006A19B2"/>
    <w:rPr>
      <w:rFonts w:ascii="Tahoma" w:hAnsi="Tahoma" w:cs="Tahoma"/>
      <w:sz w:val="16"/>
      <w:szCs w:val="16"/>
    </w:rPr>
  </w:style>
  <w:style w:type="character" w:customStyle="1" w:styleId="BalloonTextChar">
    <w:name w:val="Balloon Text Char"/>
    <w:basedOn w:val="DefaultParagraphFont"/>
    <w:link w:val="BalloonText"/>
    <w:uiPriority w:val="99"/>
    <w:semiHidden/>
    <w:rsid w:val="006A19B2"/>
    <w:rPr>
      <w:rFonts w:ascii="Tahoma" w:hAnsi="Tahoma" w:cs="Tahoma"/>
      <w:sz w:val="16"/>
      <w:szCs w:val="16"/>
    </w:rPr>
  </w:style>
  <w:style w:type="character" w:customStyle="1" w:styleId="Heading1Char">
    <w:name w:val="Heading 1 Char"/>
    <w:basedOn w:val="DefaultParagraphFont"/>
    <w:link w:val="Heading1"/>
    <w:uiPriority w:val="9"/>
    <w:rsid w:val="00B778E9"/>
    <w:rPr>
      <w:rFonts w:ascii="Cambria" w:eastAsia="Times New Roman" w:hAnsi="Cambria" w:cs="Times New Roman"/>
      <w:b/>
      <w:bCs/>
      <w:color w:val="365F91"/>
      <w:sz w:val="28"/>
      <w:szCs w:val="28"/>
    </w:rPr>
  </w:style>
  <w:style w:type="character" w:styleId="IntenseReference">
    <w:name w:val="Intense Reference"/>
    <w:basedOn w:val="DefaultParagraphFont"/>
    <w:uiPriority w:val="32"/>
    <w:qFormat/>
    <w:rsid w:val="00B778E9"/>
    <w:rPr>
      <w:b/>
      <w:bCs/>
      <w:smallCaps/>
      <w:color w:val="C0504D"/>
      <w:spacing w:val="5"/>
      <w:u w:val="single"/>
    </w:rPr>
  </w:style>
  <w:style w:type="paragraph" w:styleId="PlainText">
    <w:name w:val="Plain Text"/>
    <w:basedOn w:val="Normal"/>
    <w:link w:val="PlainTextChar"/>
    <w:uiPriority w:val="99"/>
    <w:semiHidden/>
    <w:unhideWhenUsed/>
    <w:rsid w:val="0078299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82997"/>
    <w:rPr>
      <w:rFonts w:ascii="Consolas" w:eastAsiaTheme="minorHAnsi" w:hAnsi="Consolas" w:cstheme="minorBidi"/>
      <w:sz w:val="21"/>
      <w:szCs w:val="21"/>
    </w:rPr>
  </w:style>
  <w:style w:type="paragraph" w:styleId="ListParagraph">
    <w:name w:val="List Paragraph"/>
    <w:basedOn w:val="Normal"/>
    <w:uiPriority w:val="34"/>
    <w:qFormat/>
    <w:rsid w:val="009F4559"/>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88"/>
    <w:rPr>
      <w:sz w:val="24"/>
      <w:szCs w:val="24"/>
    </w:rPr>
  </w:style>
  <w:style w:type="paragraph" w:styleId="Heading1">
    <w:name w:val="heading 1"/>
    <w:basedOn w:val="Normal"/>
    <w:next w:val="Normal"/>
    <w:link w:val="Heading1Char"/>
    <w:uiPriority w:val="9"/>
    <w:qFormat/>
    <w:rsid w:val="00B778E9"/>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9B2"/>
    <w:pPr>
      <w:tabs>
        <w:tab w:val="center" w:pos="4680"/>
        <w:tab w:val="right" w:pos="9360"/>
      </w:tabs>
    </w:pPr>
  </w:style>
  <w:style w:type="character" w:customStyle="1" w:styleId="HeaderChar">
    <w:name w:val="Header Char"/>
    <w:basedOn w:val="DefaultParagraphFont"/>
    <w:link w:val="Header"/>
    <w:uiPriority w:val="99"/>
    <w:rsid w:val="006A19B2"/>
    <w:rPr>
      <w:sz w:val="24"/>
      <w:szCs w:val="24"/>
    </w:rPr>
  </w:style>
  <w:style w:type="paragraph" w:styleId="Footer">
    <w:name w:val="footer"/>
    <w:basedOn w:val="Normal"/>
    <w:link w:val="FooterChar"/>
    <w:uiPriority w:val="99"/>
    <w:unhideWhenUsed/>
    <w:rsid w:val="006A19B2"/>
    <w:pPr>
      <w:tabs>
        <w:tab w:val="center" w:pos="4680"/>
        <w:tab w:val="right" w:pos="9360"/>
      </w:tabs>
    </w:pPr>
  </w:style>
  <w:style w:type="character" w:customStyle="1" w:styleId="FooterChar">
    <w:name w:val="Footer Char"/>
    <w:basedOn w:val="DefaultParagraphFont"/>
    <w:link w:val="Footer"/>
    <w:uiPriority w:val="99"/>
    <w:rsid w:val="006A19B2"/>
    <w:rPr>
      <w:sz w:val="24"/>
      <w:szCs w:val="24"/>
    </w:rPr>
  </w:style>
  <w:style w:type="paragraph" w:styleId="BalloonText">
    <w:name w:val="Balloon Text"/>
    <w:basedOn w:val="Normal"/>
    <w:link w:val="BalloonTextChar"/>
    <w:uiPriority w:val="99"/>
    <w:semiHidden/>
    <w:unhideWhenUsed/>
    <w:rsid w:val="006A19B2"/>
    <w:rPr>
      <w:rFonts w:ascii="Tahoma" w:hAnsi="Tahoma" w:cs="Tahoma"/>
      <w:sz w:val="16"/>
      <w:szCs w:val="16"/>
    </w:rPr>
  </w:style>
  <w:style w:type="character" w:customStyle="1" w:styleId="BalloonTextChar">
    <w:name w:val="Balloon Text Char"/>
    <w:basedOn w:val="DefaultParagraphFont"/>
    <w:link w:val="BalloonText"/>
    <w:uiPriority w:val="99"/>
    <w:semiHidden/>
    <w:rsid w:val="006A19B2"/>
    <w:rPr>
      <w:rFonts w:ascii="Tahoma" w:hAnsi="Tahoma" w:cs="Tahoma"/>
      <w:sz w:val="16"/>
      <w:szCs w:val="16"/>
    </w:rPr>
  </w:style>
  <w:style w:type="character" w:customStyle="1" w:styleId="Heading1Char">
    <w:name w:val="Heading 1 Char"/>
    <w:basedOn w:val="DefaultParagraphFont"/>
    <w:link w:val="Heading1"/>
    <w:uiPriority w:val="9"/>
    <w:rsid w:val="00B778E9"/>
    <w:rPr>
      <w:rFonts w:ascii="Cambria" w:eastAsia="Times New Roman" w:hAnsi="Cambria" w:cs="Times New Roman"/>
      <w:b/>
      <w:bCs/>
      <w:color w:val="365F91"/>
      <w:sz w:val="28"/>
      <w:szCs w:val="28"/>
    </w:rPr>
  </w:style>
  <w:style w:type="character" w:styleId="IntenseReference">
    <w:name w:val="Intense Reference"/>
    <w:basedOn w:val="DefaultParagraphFont"/>
    <w:uiPriority w:val="32"/>
    <w:qFormat/>
    <w:rsid w:val="00B778E9"/>
    <w:rPr>
      <w:b/>
      <w:bCs/>
      <w:smallCaps/>
      <w:color w:val="C0504D"/>
      <w:spacing w:val="5"/>
      <w:u w:val="single"/>
    </w:rPr>
  </w:style>
  <w:style w:type="paragraph" w:styleId="PlainText">
    <w:name w:val="Plain Text"/>
    <w:basedOn w:val="Normal"/>
    <w:link w:val="PlainTextChar"/>
    <w:uiPriority w:val="99"/>
    <w:semiHidden/>
    <w:unhideWhenUsed/>
    <w:rsid w:val="0078299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82997"/>
    <w:rPr>
      <w:rFonts w:ascii="Consolas" w:eastAsiaTheme="minorHAnsi" w:hAnsi="Consolas" w:cstheme="minorBidi"/>
      <w:sz w:val="21"/>
      <w:szCs w:val="21"/>
    </w:rPr>
  </w:style>
  <w:style w:type="paragraph" w:styleId="ListParagraph">
    <w:name w:val="List Paragraph"/>
    <w:basedOn w:val="Normal"/>
    <w:uiPriority w:val="34"/>
    <w:qFormat/>
    <w:rsid w:val="009F4559"/>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1505">
      <w:bodyDiv w:val="1"/>
      <w:marLeft w:val="0"/>
      <w:marRight w:val="0"/>
      <w:marTop w:val="0"/>
      <w:marBottom w:val="0"/>
      <w:divBdr>
        <w:top w:val="none" w:sz="0" w:space="0" w:color="auto"/>
        <w:left w:val="none" w:sz="0" w:space="0" w:color="auto"/>
        <w:bottom w:val="none" w:sz="0" w:space="0" w:color="auto"/>
        <w:right w:val="none" w:sz="0" w:space="0" w:color="auto"/>
      </w:divBdr>
    </w:div>
    <w:div w:id="14690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2FEC-C329-48A8-8909-FCE9BBF7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MAE Ph</vt:lpstr>
    </vt:vector>
  </TitlesOfParts>
  <Company>UCCS</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Ph</dc:title>
  <dc:creator>Ken Saunders</dc:creator>
  <cp:lastModifiedBy>Steven Tragesser</cp:lastModifiedBy>
  <cp:revision>3</cp:revision>
  <cp:lastPrinted>2005-02-07T19:36:00Z</cp:lastPrinted>
  <dcterms:created xsi:type="dcterms:W3CDTF">2012-10-23T20:27:00Z</dcterms:created>
  <dcterms:modified xsi:type="dcterms:W3CDTF">2013-01-08T00:57:00Z</dcterms:modified>
</cp:coreProperties>
</file>